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B0" w:rsidRPr="00A52E43" w:rsidRDefault="00CA20B0" w:rsidP="00CA20B0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Pr="00A52E43" w:rsidRDefault="00D246EB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La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Comisión de Selección del Sistema Estatal Anticorrupción 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emite la </w:t>
      </w:r>
    </w:p>
    <w:p w:rsidR="00D246EB" w:rsidRDefault="00D246EB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</w:p>
    <w:p w:rsidR="00D246EB" w:rsidRPr="00A52E43" w:rsidRDefault="00D246EB" w:rsidP="00D246EB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C</w:t>
      </w:r>
      <w:r>
        <w:rPr>
          <w:rFonts w:ascii="Arial" w:eastAsia="Calibri" w:hAnsi="Arial" w:cs="Arial"/>
          <w:b/>
          <w:sz w:val="24"/>
          <w:szCs w:val="24"/>
          <w:lang w:val="es-ES" w:eastAsia="en-US"/>
        </w:rPr>
        <w:t>ONVOCATORIA PARA LA RENOVACIÓN DE UN INTEGRANTE DEL</w:t>
      </w: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COMITÉ DE PARTICIPACIÓN CIUDADANA DEL SISTEMA ESTATAL ANTICORRUPCIÓN</w:t>
      </w:r>
      <w:r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</w:t>
      </w:r>
      <w:r w:rsidRPr="00D246EB">
        <w:rPr>
          <w:rFonts w:ascii="Arial" w:eastAsia="Calibri" w:hAnsi="Arial" w:cs="Arial"/>
          <w:sz w:val="24"/>
          <w:szCs w:val="24"/>
          <w:lang w:val="es-ES" w:eastAsia="en-US"/>
        </w:rPr>
        <w:t>dirigida</w:t>
      </w:r>
      <w:r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</w:t>
      </w:r>
    </w:p>
    <w:p w:rsidR="00D246EB" w:rsidRDefault="00D246EB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Pr="00A52E43" w:rsidRDefault="009C0737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A todos los ciudadanos chihuahuenses </w:t>
      </w:r>
      <w:r w:rsidR="00484BC2">
        <w:rPr>
          <w:rFonts w:ascii="Arial" w:eastAsia="Calibri" w:hAnsi="Arial" w:cs="Arial"/>
          <w:sz w:val="24"/>
          <w:szCs w:val="24"/>
          <w:lang w:val="es-ES" w:eastAsia="en-US"/>
        </w:rPr>
        <w:t xml:space="preserve">del </w:t>
      </w:r>
      <w:r w:rsidR="00484BC2" w:rsidRPr="003D1691">
        <w:rPr>
          <w:rFonts w:ascii="Arial" w:eastAsia="Calibri" w:hAnsi="Arial" w:cs="Arial"/>
          <w:sz w:val="24"/>
          <w:szCs w:val="24"/>
          <w:lang w:val="es-ES" w:eastAsia="en-US"/>
        </w:rPr>
        <w:t>sexo masculino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AB6FE2">
        <w:rPr>
          <w:rFonts w:ascii="Arial" w:eastAsia="Calibri" w:hAnsi="Arial" w:cs="Arial"/>
          <w:sz w:val="24"/>
          <w:szCs w:val="24"/>
          <w:lang w:val="es-ES" w:eastAsia="en-US"/>
        </w:rPr>
        <w:t xml:space="preserve">que tengan interés en formar parte </w:t>
      </w:r>
      <w:r w:rsidR="0064556D">
        <w:rPr>
          <w:rFonts w:ascii="Arial" w:eastAsia="Calibri" w:hAnsi="Arial" w:cs="Arial"/>
          <w:sz w:val="24"/>
          <w:szCs w:val="24"/>
          <w:lang w:val="es-ES" w:eastAsia="en-US"/>
        </w:rPr>
        <w:t>del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Comité de Participación Ciudadana del</w:t>
      </w:r>
      <w:r w:rsidR="00E821A9">
        <w:rPr>
          <w:rFonts w:ascii="Arial" w:eastAsia="Calibri" w:hAnsi="Arial" w:cs="Arial"/>
          <w:sz w:val="24"/>
          <w:szCs w:val="24"/>
          <w:lang w:val="es-ES" w:eastAsia="en-US"/>
        </w:rPr>
        <w:t xml:space="preserve"> Sistema Estatal Anticorrupción, para participar en el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proceso de selección </w:t>
      </w:r>
      <w:r w:rsidR="00E821A9">
        <w:rPr>
          <w:rFonts w:ascii="Arial" w:eastAsia="Calibri" w:hAnsi="Arial" w:cs="Arial"/>
          <w:sz w:val="24"/>
          <w:szCs w:val="24"/>
          <w:lang w:val="es-ES" w:eastAsia="en-US"/>
        </w:rPr>
        <w:t xml:space="preserve">que se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re</w:t>
      </w:r>
      <w:bookmarkStart w:id="0" w:name="_GoBack"/>
      <w:bookmarkEnd w:id="0"/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alizará de acuerdo a las siguientes: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</w:r>
    </w:p>
    <w:p w:rsidR="00CA20B0" w:rsidRDefault="00CA20B0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BASES</w:t>
      </w:r>
    </w:p>
    <w:p w:rsidR="00FA175B" w:rsidRPr="00A52E43" w:rsidRDefault="00FA175B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PRIMERA.</w:t>
      </w:r>
      <w:r w:rsidR="0064556D">
        <w:rPr>
          <w:rFonts w:ascii="Arial" w:eastAsia="Calibri" w:hAnsi="Arial" w:cs="Arial"/>
          <w:sz w:val="24"/>
          <w:szCs w:val="24"/>
          <w:lang w:val="es-ES" w:eastAsia="en-US"/>
        </w:rPr>
        <w:t xml:space="preserve"> L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os aspirantes, de conformidad con los artículos 34 de la Ley del Sistema Estatal An</w:t>
      </w:r>
      <w:r>
        <w:rPr>
          <w:rFonts w:ascii="Arial" w:eastAsia="Calibri" w:hAnsi="Arial" w:cs="Arial"/>
          <w:sz w:val="24"/>
          <w:szCs w:val="24"/>
          <w:lang w:val="es-ES" w:eastAsia="en-US"/>
        </w:rPr>
        <w:t>ticorrupción y el artículo 187,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apartado B, de la Constitución Política del Estado de Chihuahua, deberán de cumplir con los siguientes requisitos: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I.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Poseer la ciudadanía mexicana y estar en pleno goce y ejercicio de sus derechos.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II.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 xml:space="preserve">Tener más de 30 años de edad al día de la designación. </w:t>
      </w:r>
    </w:p>
    <w:p w:rsidR="00CA20B0" w:rsidRPr="00A52E43" w:rsidRDefault="00E00EF4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III.</w:t>
      </w:r>
      <w:r>
        <w:rPr>
          <w:rFonts w:ascii="Arial" w:eastAsia="Calibri" w:hAnsi="Arial" w:cs="Arial"/>
          <w:sz w:val="24"/>
          <w:szCs w:val="24"/>
          <w:lang w:val="es-ES" w:eastAsia="en-US"/>
        </w:rPr>
        <w:tab/>
        <w:t>Tener  título profesional de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nivel licenciatura al día de la designación y contar con los conocimientos y experiencia relacionados con la materia de esta Convocatoria</w:t>
      </w:r>
      <w:r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que le permita el desempeño de sus funciones.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IV.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Gozar de buena reputación y no haber recibido condena  por algún delito doloso.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V.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Presentar sus declaraciones de intereses, patrimonial y fiscal, de forma previa a su nombramiento.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VI.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No haber sido registrado</w:t>
      </w:r>
      <w:r w:rsidR="0064556D">
        <w:rPr>
          <w:rFonts w:ascii="Arial" w:eastAsia="Calibri" w:hAnsi="Arial" w:cs="Arial"/>
          <w:sz w:val="24"/>
          <w:szCs w:val="24"/>
          <w:lang w:val="es-ES" w:eastAsia="en-US"/>
        </w:rPr>
        <w:t xml:space="preserve"> como candidato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propietario o suplente por ambos principios, en el proceso electoral inmediato anterior al de su designación. 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VII.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No desempeñar ni haber desempeñado un cargo de dirección nacional, estatal o municipal en algún partido político durante los 3 años anteriores a la designación.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VIII.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 xml:space="preserve">No ser titular de alguna de las dependencias o entidades de  cualquier orden de gobierno, del  Poder Judicial, ocupar alguna magistratura, o fungir como integrante del Consejo de la Judicatura, a menos que se  haya separado de su cargo un año antes del día de su designación.       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lastRenderedPageBreak/>
        <w:t xml:space="preserve"> 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SEGUNDA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. La Comisión de Selec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ción recibirá las postulaciones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de conformidad con lo señalado en la Base Primera de esta Convocatoria, las cuales deberán estar acompañadas por los siguientes documentos: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1.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 xml:space="preserve">Carta de postulación por la o las instituciones u organizaciones promotoras, o de la persona postulante a título </w:t>
      </w:r>
      <w:r w:rsidR="00E00EF4">
        <w:rPr>
          <w:rFonts w:ascii="Arial" w:eastAsia="Calibri" w:hAnsi="Arial" w:cs="Arial"/>
          <w:sz w:val="24"/>
          <w:szCs w:val="24"/>
          <w:lang w:val="es-ES" w:eastAsia="en-US"/>
        </w:rPr>
        <w:t>propio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. 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2.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Un escrito que contenga nombre, fecha y lugar de nacimiento, nacionalidad, domicilio, teléfonos y correo electrónico de contacto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 de la persona postulada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. </w:t>
      </w:r>
    </w:p>
    <w:p w:rsidR="00CA20B0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3.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Currículum Vitae, en versión pública, que exponga su experiencia profesional</w:t>
      </w:r>
      <w:r w:rsidR="00DE7A8A">
        <w:rPr>
          <w:rFonts w:ascii="Arial" w:eastAsia="Calibri" w:hAnsi="Arial" w:cs="Arial"/>
          <w:sz w:val="24"/>
          <w:szCs w:val="24"/>
          <w:lang w:val="es-ES" w:eastAsia="en-US"/>
        </w:rPr>
        <w:t xml:space="preserve">;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y en caso de contar con publicaciones de las materias contenidas en esta Convocatoria</w:t>
      </w:r>
      <w:r w:rsidR="00DE7A8A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incluir solamente respaldo electrónico.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4.</w:t>
      </w:r>
      <w:r>
        <w:rPr>
          <w:rFonts w:ascii="Arial" w:eastAsia="Calibri" w:hAnsi="Arial" w:cs="Arial"/>
          <w:sz w:val="24"/>
          <w:szCs w:val="24"/>
          <w:lang w:val="es-ES" w:eastAsia="en-US"/>
        </w:rPr>
        <w:tab/>
        <w:t xml:space="preserve">Copia simple del Título Profesional de nivel licenciatura o Cédula Profesional.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</w:p>
    <w:p w:rsidR="00CA20B0" w:rsidRPr="00A52E43" w:rsidRDefault="00CA20B0" w:rsidP="00CA20B0">
      <w:pPr>
        <w:spacing w:after="160"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5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.     </w:t>
      </w:r>
      <w:r w:rsidR="0067386A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Una exposición de motivos de máximo 1 cuartilla, escrita por la persona postulada, donde señale las razones por las cuales considera que  su experiencia y candidatura  le califican para integrar el Comité. </w:t>
      </w:r>
    </w:p>
    <w:p w:rsidR="00CA20B0" w:rsidRDefault="00CA20B0" w:rsidP="00CA20B0">
      <w:pPr>
        <w:spacing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6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.   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 xml:space="preserve">Copias simples del acta de nacimiento y credencial de elector o pasaporte vigente. </w:t>
      </w:r>
    </w:p>
    <w:p w:rsidR="0067386A" w:rsidRPr="00A52E43" w:rsidRDefault="0067386A" w:rsidP="00CA20B0">
      <w:pPr>
        <w:spacing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Pr="00A52E43" w:rsidRDefault="00CA20B0" w:rsidP="00340EF0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7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.  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 xml:space="preserve">Una sola carta, bajo protesta de decir verdad, en la que se manifieste lo </w:t>
      </w:r>
    </w:p>
    <w:p w:rsidR="00CA20B0" w:rsidRPr="00A52E43" w:rsidRDefault="00CA20B0" w:rsidP="00340EF0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     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</w:r>
      <w:proofErr w:type="gramStart"/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siguiente</w:t>
      </w:r>
      <w:proofErr w:type="gramEnd"/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:</w:t>
      </w:r>
    </w:p>
    <w:p w:rsidR="00CA20B0" w:rsidRPr="00A52E43" w:rsidRDefault="00CA20B0" w:rsidP="00CA20B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No haber recibido condena por delito doloso</w:t>
      </w:r>
      <w:r>
        <w:rPr>
          <w:rFonts w:ascii="Arial" w:eastAsia="Calibri" w:hAnsi="Arial" w:cs="Arial"/>
          <w:sz w:val="24"/>
          <w:szCs w:val="24"/>
          <w:lang w:val="es-ES" w:eastAsia="en-US"/>
        </w:rPr>
        <w:t>.</w:t>
      </w:r>
    </w:p>
    <w:p w:rsidR="00CA20B0" w:rsidRPr="00A52E43" w:rsidRDefault="003D1691" w:rsidP="00CA20B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No haber sido registrado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como 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candidato propietario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o suplente por ambos principios en el proceso electoral inmediato anterior al de su designación.</w:t>
      </w:r>
    </w:p>
    <w:p w:rsidR="00CA20B0" w:rsidRPr="00A52E43" w:rsidRDefault="00FA175B" w:rsidP="00CA20B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No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desempeñar ni haber desempeñado cargo de dirección nacional o estatal  en algún partido político en los últimos </w:t>
      </w:r>
      <w:r w:rsidR="00CA20B0" w:rsidRPr="00340EF0">
        <w:rPr>
          <w:rFonts w:ascii="Arial" w:eastAsia="Calibri" w:hAnsi="Arial" w:cs="Arial"/>
          <w:sz w:val="24"/>
          <w:szCs w:val="24"/>
          <w:lang w:val="es-ES" w:eastAsia="en-US"/>
        </w:rPr>
        <w:t>3 años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anteriores a la designación. </w:t>
      </w:r>
    </w:p>
    <w:p w:rsidR="00CA20B0" w:rsidRPr="00A52E43" w:rsidRDefault="00CA20B0" w:rsidP="00CA20B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No ser titular de alguna de las dependencias o entidades de  cualquier orden de gobierno, del  Poder Judicial, ocupar alguna magistratura, o fungir como integrante del Consejo de la Judicatura, a menos que se  haya separado de su cargo un año antes del día de su designación.       </w:t>
      </w:r>
    </w:p>
    <w:p w:rsidR="00CA20B0" w:rsidRDefault="00CA20B0" w:rsidP="00CA20B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Que acepta los términos de la presente Convocatoria.</w:t>
      </w:r>
    </w:p>
    <w:p w:rsidR="005E6247" w:rsidRDefault="005E6247" w:rsidP="005E6247">
      <w:pPr>
        <w:spacing w:after="160" w:line="259" w:lineRule="auto"/>
        <w:ind w:left="1428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Default="00CA20B0" w:rsidP="00CA20B0">
      <w:pPr>
        <w:spacing w:after="160" w:line="259" w:lineRule="auto"/>
        <w:ind w:left="705" w:hanging="705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8.</w:t>
      </w:r>
      <w:r>
        <w:rPr>
          <w:rFonts w:ascii="Arial" w:eastAsia="Calibri" w:hAnsi="Arial" w:cs="Arial"/>
          <w:sz w:val="24"/>
          <w:szCs w:val="24"/>
          <w:lang w:val="es-ES" w:eastAsia="en-US"/>
        </w:rPr>
        <w:tab/>
        <w:t>C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ertificado de antecedentes penales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 expedido por la Fiscalía General del Estado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. </w:t>
      </w:r>
    </w:p>
    <w:p w:rsidR="009B0BDA" w:rsidRDefault="009B0BDA" w:rsidP="00CA20B0">
      <w:pPr>
        <w:spacing w:after="160" w:line="259" w:lineRule="auto"/>
        <w:ind w:left="705" w:hanging="705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9B0BDA" w:rsidRDefault="005137F0" w:rsidP="00CA20B0">
      <w:pPr>
        <w:spacing w:after="160" w:line="259" w:lineRule="auto"/>
        <w:ind w:left="705" w:hanging="705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9.      </w:t>
      </w:r>
      <w:r w:rsidR="009B0BDA" w:rsidRPr="002909B2">
        <w:rPr>
          <w:rFonts w:ascii="Arial" w:eastAsia="Calibri" w:hAnsi="Arial" w:cs="Arial"/>
          <w:sz w:val="24"/>
          <w:szCs w:val="24"/>
          <w:lang w:val="es-ES" w:eastAsia="en-US"/>
        </w:rPr>
        <w:t>Constancia de situ</w:t>
      </w:r>
      <w:r w:rsidR="005E6247" w:rsidRPr="002909B2">
        <w:rPr>
          <w:rFonts w:ascii="Arial" w:eastAsia="Calibri" w:hAnsi="Arial" w:cs="Arial"/>
          <w:sz w:val="24"/>
          <w:szCs w:val="24"/>
          <w:lang w:val="es-ES" w:eastAsia="en-US"/>
        </w:rPr>
        <w:t>ación fiscal emitida por el S</w:t>
      </w:r>
      <w:r w:rsidR="003777DA" w:rsidRPr="002909B2">
        <w:rPr>
          <w:rFonts w:ascii="Arial" w:eastAsia="Calibri" w:hAnsi="Arial" w:cs="Arial"/>
          <w:sz w:val="24"/>
          <w:szCs w:val="24"/>
          <w:lang w:val="es-ES" w:eastAsia="en-US"/>
        </w:rPr>
        <w:t xml:space="preserve">ervicio de </w:t>
      </w:r>
      <w:r w:rsidR="005E6247" w:rsidRPr="002909B2">
        <w:rPr>
          <w:rFonts w:ascii="Arial" w:eastAsia="Calibri" w:hAnsi="Arial" w:cs="Arial"/>
          <w:sz w:val="24"/>
          <w:szCs w:val="24"/>
          <w:lang w:val="es-ES" w:eastAsia="en-US"/>
        </w:rPr>
        <w:t>A</w:t>
      </w:r>
      <w:r w:rsidR="003777DA" w:rsidRPr="002909B2">
        <w:rPr>
          <w:rFonts w:ascii="Arial" w:eastAsia="Calibri" w:hAnsi="Arial" w:cs="Arial"/>
          <w:sz w:val="24"/>
          <w:szCs w:val="24"/>
          <w:lang w:val="es-ES" w:eastAsia="en-US"/>
        </w:rPr>
        <w:t xml:space="preserve">dministración </w:t>
      </w:r>
      <w:r w:rsidR="005E6247" w:rsidRPr="002909B2">
        <w:rPr>
          <w:rFonts w:ascii="Arial" w:eastAsia="Calibri" w:hAnsi="Arial" w:cs="Arial"/>
          <w:sz w:val="24"/>
          <w:szCs w:val="24"/>
          <w:lang w:val="es-ES" w:eastAsia="en-US"/>
        </w:rPr>
        <w:t>T</w:t>
      </w:r>
      <w:r w:rsidR="003777DA" w:rsidRPr="002909B2">
        <w:rPr>
          <w:rFonts w:ascii="Arial" w:eastAsia="Calibri" w:hAnsi="Arial" w:cs="Arial"/>
          <w:sz w:val="24"/>
          <w:szCs w:val="24"/>
          <w:lang w:val="es-ES" w:eastAsia="en-US"/>
        </w:rPr>
        <w:t>ributaria</w:t>
      </w:r>
      <w:r w:rsidR="005E6247" w:rsidRPr="002909B2">
        <w:rPr>
          <w:rFonts w:ascii="Arial" w:eastAsia="Calibri" w:hAnsi="Arial" w:cs="Arial"/>
          <w:sz w:val="24"/>
          <w:szCs w:val="24"/>
          <w:lang w:val="es-ES" w:eastAsia="en-US"/>
        </w:rPr>
        <w:t>.</w:t>
      </w:r>
    </w:p>
    <w:p w:rsidR="005E6247" w:rsidRPr="00A52E43" w:rsidRDefault="005E6247" w:rsidP="00CA20B0">
      <w:pPr>
        <w:spacing w:after="160" w:line="259" w:lineRule="auto"/>
        <w:ind w:left="705" w:hanging="705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Default="00773C4E" w:rsidP="00CA20B0">
      <w:pPr>
        <w:spacing w:line="259" w:lineRule="auto"/>
        <w:ind w:left="705" w:hanging="705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lastRenderedPageBreak/>
        <w:t>10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.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Presentar una</w:t>
      </w:r>
      <w:r w:rsidR="00CA20B0">
        <w:rPr>
          <w:rFonts w:ascii="Arial" w:eastAsia="Calibri" w:hAnsi="Arial" w:cs="Arial"/>
          <w:sz w:val="24"/>
          <w:szCs w:val="24"/>
          <w:lang w:val="es-ES" w:eastAsia="en-US"/>
        </w:rPr>
        <w:t xml:space="preserve"> carta de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declaración de</w:t>
      </w:r>
      <w:r w:rsidR="00CA20B0">
        <w:rPr>
          <w:rFonts w:ascii="Arial" w:eastAsia="Calibri" w:hAnsi="Arial" w:cs="Arial"/>
          <w:sz w:val="24"/>
          <w:szCs w:val="24"/>
          <w:lang w:val="es-ES" w:eastAsia="en-US"/>
        </w:rPr>
        <w:t xml:space="preserve"> inexistencia de conflicto de interés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en el formato 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disponible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en la</w:t>
      </w:r>
      <w:r w:rsidR="00CA20B0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página: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  </w:t>
      </w:r>
      <w:bookmarkStart w:id="1" w:name="_Hlk504206048"/>
      <w:r w:rsidR="001A0072"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fldChar w:fldCharType="begin"/>
      </w:r>
      <w:r w:rsidR="00CA20B0"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instrText xml:space="preserve"> HYPERLINK "http://comisionseachihuahua.mx" </w:instrText>
      </w:r>
      <w:r w:rsidR="001A0072"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fldChar w:fldCharType="separate"/>
      </w:r>
      <w:r w:rsidR="00CA20B0" w:rsidRPr="00A52E43">
        <w:rPr>
          <w:rStyle w:val="Hipervnculo"/>
          <w:rFonts w:ascii="Arial" w:eastAsia="Calibri" w:hAnsi="Arial" w:cs="Arial"/>
          <w:b/>
          <w:sz w:val="24"/>
          <w:szCs w:val="24"/>
          <w:lang w:val="es-ES" w:eastAsia="en-US"/>
        </w:rPr>
        <w:t>http://comisionseachihuahua.mx</w:t>
      </w:r>
      <w:bookmarkEnd w:id="1"/>
      <w:r w:rsidR="001A0072"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fldChar w:fldCharType="end"/>
      </w:r>
    </w:p>
    <w:p w:rsidR="005E6247" w:rsidRPr="00A52E43" w:rsidRDefault="005E6247" w:rsidP="00CA20B0">
      <w:pPr>
        <w:spacing w:line="259" w:lineRule="auto"/>
        <w:ind w:left="705" w:hanging="705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</w:p>
    <w:p w:rsidR="00CA20B0" w:rsidRPr="00A52E43" w:rsidRDefault="00CA20B0" w:rsidP="00CA20B0">
      <w:pPr>
        <w:spacing w:line="259" w:lineRule="auto"/>
        <w:ind w:left="705" w:hanging="705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1</w:t>
      </w:r>
      <w:r w:rsidR="00773C4E">
        <w:rPr>
          <w:rFonts w:ascii="Arial" w:eastAsia="Calibri" w:hAnsi="Arial" w:cs="Arial"/>
          <w:sz w:val="24"/>
          <w:szCs w:val="24"/>
          <w:lang w:val="es-ES" w:eastAsia="en-US"/>
        </w:rPr>
        <w:t>1</w:t>
      </w:r>
      <w:r w:rsidRPr="00096876">
        <w:rPr>
          <w:rFonts w:ascii="Arial" w:eastAsia="Calibri" w:hAnsi="Arial" w:cs="Arial"/>
          <w:sz w:val="24"/>
          <w:szCs w:val="24"/>
          <w:lang w:val="es-ES" w:eastAsia="en-US"/>
        </w:rPr>
        <w:t>.</w:t>
      </w: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ab/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Aviso de privacidad debidamente firmado, en el que autoriza el tratamiento de sus datos personales para los fines previstos en el presente procedimiento de selección, en el formato 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disponible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en la página:   </w:t>
      </w:r>
      <w:hyperlink r:id="rId5" w:history="1">
        <w:r w:rsidRPr="00A52E43">
          <w:rPr>
            <w:rStyle w:val="Hipervnculo"/>
            <w:rFonts w:ascii="Arial" w:eastAsia="Calibri" w:hAnsi="Arial" w:cs="Arial"/>
            <w:b/>
            <w:sz w:val="24"/>
            <w:szCs w:val="24"/>
            <w:lang w:val="es-ES" w:eastAsia="en-US"/>
          </w:rPr>
          <w:t>http://comisionseachihuahua.mx</w:t>
        </w:r>
      </w:hyperlink>
    </w:p>
    <w:p w:rsidR="00CA20B0" w:rsidRPr="00A52E43" w:rsidRDefault="00CA20B0" w:rsidP="00CA20B0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TERCERA.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 De conformidad con lo establecido en el artículo 122 de la Ley de Transparencia y Acceso a la Información Pública del Estado de Chihuahua, los documentos señalados en los puntos 2, </w:t>
      </w:r>
      <w:r w:rsidR="007460B3">
        <w:rPr>
          <w:rFonts w:ascii="Arial" w:eastAsia="Calibri" w:hAnsi="Arial" w:cs="Arial"/>
          <w:sz w:val="24"/>
          <w:szCs w:val="24"/>
          <w:lang w:val="es-ES" w:eastAsia="en-US"/>
        </w:rPr>
        <w:t xml:space="preserve">4, </w:t>
      </w:r>
      <w:r w:rsidR="0095742F">
        <w:rPr>
          <w:rFonts w:ascii="Arial" w:eastAsia="Calibri" w:hAnsi="Arial" w:cs="Arial"/>
          <w:sz w:val="24"/>
          <w:szCs w:val="24"/>
          <w:lang w:val="es-ES" w:eastAsia="en-US"/>
        </w:rPr>
        <w:t>6 y 8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 xml:space="preserve"> de la Base S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egunda de esta Convocatoria serán tratados con el carácter de confidenciales. El resto de los documentos tendrá carácter público. 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CUARTA.</w:t>
      </w:r>
      <w:r w:rsidR="00205BC2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La Comisión de Selección desarrollará una metodología para evaluar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desde el punto de vista curr</w:t>
      </w:r>
      <w:r w:rsidR="00310C91">
        <w:rPr>
          <w:rFonts w:ascii="Arial" w:eastAsia="Calibri" w:hAnsi="Arial" w:cs="Arial"/>
          <w:sz w:val="24"/>
          <w:szCs w:val="24"/>
          <w:lang w:val="es-ES" w:eastAsia="en-US"/>
        </w:rPr>
        <w:t>icular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="00310C91">
        <w:rPr>
          <w:rFonts w:ascii="Arial" w:eastAsia="Calibri" w:hAnsi="Arial" w:cs="Arial"/>
          <w:sz w:val="24"/>
          <w:szCs w:val="24"/>
          <w:lang w:val="es-ES" w:eastAsia="en-US"/>
        </w:rPr>
        <w:t xml:space="preserve"> que los perfiles de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los candidatos cumplan con uno o más de los siguientes criterios:</w:t>
      </w:r>
    </w:p>
    <w:p w:rsidR="00CA20B0" w:rsidRPr="00A52E43" w:rsidRDefault="00CA20B0" w:rsidP="00642048">
      <w:pPr>
        <w:numPr>
          <w:ilvl w:val="0"/>
          <w:numId w:val="2"/>
        </w:numPr>
        <w:spacing w:after="160" w:line="259" w:lineRule="auto"/>
        <w:ind w:left="851" w:hanging="567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Experiencia o conocimiento en el diseño, implementación, evaluación </w:t>
      </w:r>
    </w:p>
    <w:p w:rsidR="00CA20B0" w:rsidRPr="00A52E43" w:rsidRDefault="00CA20B0" w:rsidP="005708C4">
      <w:pPr>
        <w:spacing w:after="160" w:line="259" w:lineRule="auto"/>
        <w:ind w:left="851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y/o análisis de políticas públicas.</w:t>
      </w:r>
    </w:p>
    <w:p w:rsidR="00CA20B0" w:rsidRPr="00A52E43" w:rsidRDefault="00CA20B0" w:rsidP="00642048">
      <w:pPr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2.  </w:t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Experiencia o conocimiento en cualquiera de las siguientes materias: </w:t>
      </w:r>
    </w:p>
    <w:p w:rsidR="00CA20B0" w:rsidRPr="00A52E43" w:rsidRDefault="00CA20B0" w:rsidP="00642048">
      <w:pPr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   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a.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ab/>
        <w:t>Administración pública,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transpar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encia, rendición de cuentas, combate a la corrupción,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re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sponsabilidades administrativas,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procesos relacionados con adquisiciones de servicios y contratación de obra pública. </w:t>
      </w:r>
    </w:p>
    <w:p w:rsidR="00CA20B0" w:rsidRPr="00A52E43" w:rsidRDefault="00CA20B0" w:rsidP="00642048">
      <w:pPr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   b.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>Formulaci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ón y fiscalización presupuestal, inteligencia financiera,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contabilidad y/o auditoría gubernamental. </w:t>
      </w:r>
    </w:p>
    <w:p w:rsidR="00CA20B0" w:rsidRPr="00A52E43" w:rsidRDefault="00EF2AAC" w:rsidP="00642048">
      <w:pPr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    c.</w:t>
      </w:r>
      <w:r>
        <w:rPr>
          <w:rFonts w:ascii="Arial" w:eastAsia="Calibri" w:hAnsi="Arial" w:cs="Arial"/>
          <w:sz w:val="24"/>
          <w:szCs w:val="24"/>
          <w:lang w:val="es-ES" w:eastAsia="en-US"/>
        </w:rPr>
        <w:tab/>
        <w:t>Procuración y a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dministración 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de justicia, en particular del Sistema Penal A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cusatorio. </w:t>
      </w:r>
    </w:p>
    <w:p w:rsidR="00CA20B0" w:rsidRPr="00A52E43" w:rsidRDefault="00CA20B0" w:rsidP="00642048">
      <w:pPr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   d.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ab/>
        <w:t xml:space="preserve">Manejo de plataformas digitales </w:t>
      </w:r>
      <w:r w:rsidR="00CD3B94">
        <w:rPr>
          <w:rFonts w:ascii="Arial" w:eastAsia="Calibri" w:hAnsi="Arial" w:cs="Arial"/>
          <w:sz w:val="24"/>
          <w:szCs w:val="24"/>
          <w:lang w:val="es-ES" w:eastAsia="en-US"/>
        </w:rPr>
        <w:t>y tecnologías de la información,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así como sistematización y uso de información gubernamental para la toma de decisiones. </w:t>
      </w:r>
    </w:p>
    <w:p w:rsidR="00CA20B0" w:rsidRPr="00A52E43" w:rsidRDefault="00CA20B0" w:rsidP="00642048">
      <w:pPr>
        <w:tabs>
          <w:tab w:val="left" w:pos="426"/>
          <w:tab w:val="left" w:pos="709"/>
        </w:tabs>
        <w:spacing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3. </w:t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="004A0C5F">
        <w:rPr>
          <w:rFonts w:ascii="Arial" w:eastAsia="Calibri" w:hAnsi="Arial" w:cs="Arial"/>
          <w:sz w:val="24"/>
          <w:szCs w:val="24"/>
          <w:lang w:val="es-ES" w:eastAsia="en-US"/>
        </w:rPr>
        <w:t>E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xperiencia o conocimiento en el diseño de indicadores y        </w:t>
      </w:r>
      <w:r w:rsidR="00FA175B">
        <w:rPr>
          <w:rFonts w:ascii="Arial" w:eastAsia="Calibri" w:hAnsi="Arial" w:cs="Arial"/>
          <w:sz w:val="24"/>
          <w:szCs w:val="24"/>
          <w:lang w:val="es-ES" w:eastAsia="en-US"/>
        </w:rPr>
        <w:t xml:space="preserve">   </w:t>
      </w:r>
      <w:r w:rsidR="009528F9">
        <w:rPr>
          <w:rFonts w:ascii="Arial" w:eastAsia="Calibri" w:hAnsi="Arial" w:cs="Arial"/>
          <w:sz w:val="24"/>
          <w:szCs w:val="24"/>
          <w:lang w:val="es-ES" w:eastAsia="en-US"/>
        </w:rPr>
        <w:t xml:space="preserve">  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metodologías en las materias de esta Convocatoria.</w:t>
      </w:r>
    </w:p>
    <w:p w:rsidR="00CA20B0" w:rsidRPr="00A52E43" w:rsidRDefault="004A0C5F" w:rsidP="00642048">
      <w:pPr>
        <w:tabs>
          <w:tab w:val="left" w:pos="709"/>
          <w:tab w:val="left" w:pos="993"/>
          <w:tab w:val="left" w:pos="1134"/>
        </w:tabs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4.  </w:t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Experiencia en vinculación con organ</w:t>
      </w:r>
      <w:r w:rsidR="00642048">
        <w:rPr>
          <w:rFonts w:ascii="Arial" w:eastAsia="Calibri" w:hAnsi="Arial" w:cs="Arial"/>
          <w:sz w:val="24"/>
          <w:szCs w:val="24"/>
          <w:lang w:val="es-ES" w:eastAsia="en-US"/>
        </w:rPr>
        <w:t>izaciones sociales o académicas,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específicamente en la formación de redes.</w:t>
      </w:r>
    </w:p>
    <w:p w:rsidR="00CA20B0" w:rsidRPr="00A52E43" w:rsidRDefault="00CA20B0" w:rsidP="00642048">
      <w:pPr>
        <w:tabs>
          <w:tab w:val="left" w:pos="709"/>
        </w:tabs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5.  </w:t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Experiencia en coordinación interinstitucional e intergubernamental.</w:t>
      </w:r>
    </w:p>
    <w:p w:rsidR="00CA20B0" w:rsidRPr="00A52E43" w:rsidRDefault="00CA20B0" w:rsidP="00642048">
      <w:pPr>
        <w:tabs>
          <w:tab w:val="left" w:pos="709"/>
        </w:tabs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6.  </w:t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Reconocimiento público en funciones de liderazgo institucional o social.</w:t>
      </w:r>
    </w:p>
    <w:p w:rsidR="00CA20B0" w:rsidRPr="00A52E43" w:rsidRDefault="00CA20B0" w:rsidP="00642048">
      <w:pPr>
        <w:tabs>
          <w:tab w:val="left" w:pos="709"/>
        </w:tabs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7.  </w:t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Experiencia laboral o conocimiento de la Administración Pública Federal, Estatal o Municipal.</w:t>
      </w:r>
    </w:p>
    <w:p w:rsidR="00CA20B0" w:rsidRPr="00A52E43" w:rsidRDefault="00CA20B0" w:rsidP="00642048">
      <w:pPr>
        <w:tabs>
          <w:tab w:val="left" w:pos="709"/>
        </w:tabs>
        <w:spacing w:after="160" w:line="259" w:lineRule="auto"/>
        <w:ind w:left="851" w:hanging="567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8.  </w:t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="005708C4">
        <w:rPr>
          <w:rFonts w:ascii="Arial" w:eastAsia="Calibri" w:hAnsi="Arial" w:cs="Arial"/>
          <w:sz w:val="24"/>
          <w:szCs w:val="24"/>
          <w:lang w:val="es-ES" w:eastAsia="en-US"/>
        </w:rPr>
        <w:tab/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Experiencia de participación en cuerpos colegiados o mecanismos de participación ciudadana.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QUINTA.</w:t>
      </w:r>
      <w:r w:rsidR="00485764">
        <w:rPr>
          <w:rFonts w:ascii="Arial" w:eastAsia="Calibri" w:hAnsi="Arial" w:cs="Arial"/>
          <w:sz w:val="24"/>
          <w:szCs w:val="24"/>
          <w:lang w:val="es-ES" w:eastAsia="en-US"/>
        </w:rPr>
        <w:t xml:space="preserve"> Las postulaciones de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los candidatos al Comité de Participación Ciudadana</w:t>
      </w:r>
      <w:r w:rsidR="00CE662D">
        <w:rPr>
          <w:rFonts w:ascii="Arial" w:eastAsia="Calibri" w:hAnsi="Arial" w:cs="Arial"/>
          <w:sz w:val="24"/>
          <w:szCs w:val="24"/>
          <w:lang w:val="es-ES" w:eastAsia="en-US"/>
        </w:rPr>
        <w:t xml:space="preserve"> serán recibidas a partir del </w:t>
      </w:r>
      <w:r w:rsidR="00CE662D" w:rsidRPr="00B76428">
        <w:rPr>
          <w:rFonts w:ascii="Arial" w:eastAsia="Calibri" w:hAnsi="Arial" w:cs="Arial"/>
          <w:b/>
          <w:sz w:val="24"/>
          <w:szCs w:val="24"/>
          <w:lang w:val="es-ES" w:eastAsia="en-US"/>
        </w:rPr>
        <w:t>2</w:t>
      </w:r>
      <w:r w:rsidR="00566D88">
        <w:rPr>
          <w:rFonts w:ascii="Arial" w:eastAsia="Calibri" w:hAnsi="Arial" w:cs="Arial"/>
          <w:b/>
          <w:sz w:val="24"/>
          <w:szCs w:val="24"/>
          <w:lang w:val="es-ES" w:eastAsia="en-US"/>
        </w:rPr>
        <w:t>7</w:t>
      </w:r>
      <w:r w:rsidR="00CE662D" w:rsidRPr="00B76428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de febrero </w:t>
      </w:r>
      <w:r w:rsidR="00642048" w:rsidRPr="00B76428">
        <w:rPr>
          <w:rFonts w:ascii="Arial" w:eastAsia="Calibri" w:hAnsi="Arial" w:cs="Arial"/>
          <w:sz w:val="24"/>
          <w:szCs w:val="24"/>
          <w:lang w:val="es-ES" w:eastAsia="en-US"/>
        </w:rPr>
        <w:t>y hasta e</w:t>
      </w:r>
      <w:r w:rsidR="00CE662D" w:rsidRPr="00B76428">
        <w:rPr>
          <w:rFonts w:ascii="Arial" w:eastAsia="Calibri" w:hAnsi="Arial" w:cs="Arial"/>
          <w:sz w:val="24"/>
          <w:szCs w:val="24"/>
          <w:lang w:val="es-ES" w:eastAsia="en-US"/>
        </w:rPr>
        <w:t>l</w:t>
      </w:r>
      <w:r w:rsidR="00566D88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11</w:t>
      </w:r>
      <w:r w:rsidR="001B268A" w:rsidRPr="00B76428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de marzo</w:t>
      </w:r>
      <w:r w:rsidR="001B268A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1301D6">
        <w:rPr>
          <w:rFonts w:ascii="Arial" w:eastAsia="Calibri" w:hAnsi="Arial" w:cs="Arial"/>
          <w:b/>
          <w:sz w:val="24"/>
          <w:szCs w:val="24"/>
          <w:lang w:val="es-ES" w:eastAsia="en-US"/>
        </w:rPr>
        <w:t>de 2019</w:t>
      </w:r>
      <w:r w:rsidR="00642048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en la siguiente dirección y horarios:</w:t>
      </w:r>
    </w:p>
    <w:p w:rsidR="00642048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Domicilio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: H. Congreso del Estado de Chihuahua.</w:t>
      </w:r>
    </w:p>
    <w:p w:rsidR="00642048" w:rsidRDefault="00642048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Oficialía de P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artes.</w:t>
      </w:r>
    </w:p>
    <w:p w:rsidR="00CA20B0" w:rsidRPr="00A52E43" w:rsidRDefault="00642048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>
        <w:rPr>
          <w:rFonts w:ascii="Arial" w:eastAsia="Calibri" w:hAnsi="Arial" w:cs="Arial"/>
          <w:sz w:val="24"/>
          <w:szCs w:val="24"/>
          <w:lang w:val="es-ES" w:eastAsia="en-US"/>
        </w:rPr>
        <w:t>Cal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le Libertad 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número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9, 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Colonia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Centro, 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C.P.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31000</w:t>
      </w:r>
      <w:r>
        <w:rPr>
          <w:rFonts w:ascii="Arial" w:eastAsia="Calibri" w:hAnsi="Arial" w:cs="Arial"/>
          <w:sz w:val="24"/>
          <w:szCs w:val="24"/>
          <w:lang w:val="es-ES" w:eastAsia="en-US"/>
        </w:rPr>
        <w:t xml:space="preserve">, </w:t>
      </w:r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Chihuahua, </w:t>
      </w:r>
      <w:proofErr w:type="spellStart"/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Chih</w:t>
      </w:r>
      <w:proofErr w:type="spellEnd"/>
      <w:r w:rsidR="00CA20B0" w:rsidRPr="00A52E43">
        <w:rPr>
          <w:rFonts w:ascii="Arial" w:eastAsia="Calibri" w:hAnsi="Arial" w:cs="Arial"/>
          <w:sz w:val="24"/>
          <w:szCs w:val="24"/>
          <w:lang w:val="es-ES" w:eastAsia="en-US"/>
        </w:rPr>
        <w:t>.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Horario de recepción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: 9:00 a 20:00 horas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La postulación, así como los documentos requeridos, deberán entregarse personalmente o a través de mensajería, en papel y en versión electrónica (CD o USB)</w:t>
      </w:r>
      <w:r w:rsidR="00642048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en sobre cerrado. 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La Comisión podrá abrir, posterior a la emisión de esta Convocatoria, otros canales de recepción, mismos que hará públicos a través de su página </w:t>
      </w: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http://comisionseachihuahua.mx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SEXTA.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Concluido el periodo de recepción de documentos a presentar por l</w:t>
      </w:r>
      <w:r w:rsidR="0058740C">
        <w:rPr>
          <w:rFonts w:ascii="Arial" w:eastAsia="Calibri" w:hAnsi="Arial" w:cs="Arial"/>
          <w:sz w:val="24"/>
          <w:szCs w:val="24"/>
          <w:lang w:val="es-ES" w:eastAsia="en-US"/>
        </w:rPr>
        <w:t>as personas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aspirantes, la Comisión de Selección integrará</w:t>
      </w:r>
      <w:r w:rsidR="00642048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en expedientes individuales</w:t>
      </w:r>
      <w:r w:rsidR="00642048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los documentos recibidos para los efectos correspondientes. 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La falta de alguno de los documentos requeridos o su presentación fuera del tiempo y forma establecidos, será motivo suficiente para tener como no presentada la candidatura o postulación.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En cualquier momento, la Comisión se reserva el derecho de solicitar documentos adicionales para comprobar los datos curriculares.</w:t>
      </w:r>
    </w:p>
    <w:p w:rsidR="00E12635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SÉPTIMA</w:t>
      </w:r>
      <w:r w:rsidR="00E12635">
        <w:rPr>
          <w:rFonts w:ascii="Arial" w:eastAsia="Calibri" w:hAnsi="Arial" w:cs="Arial"/>
          <w:sz w:val="24"/>
          <w:szCs w:val="24"/>
          <w:lang w:val="es-ES" w:eastAsia="en-US"/>
        </w:rPr>
        <w:t xml:space="preserve">. </w:t>
      </w:r>
      <w:r w:rsidR="00E821A9">
        <w:rPr>
          <w:rFonts w:ascii="Arial" w:eastAsia="Calibri" w:hAnsi="Arial" w:cs="Arial"/>
          <w:sz w:val="24"/>
          <w:szCs w:val="24"/>
          <w:lang w:val="es-ES" w:eastAsia="en-US"/>
        </w:rPr>
        <w:t xml:space="preserve">El listado de las personas inscritas </w:t>
      </w:r>
      <w:r w:rsidR="00E821A9" w:rsidRPr="00A52E43">
        <w:rPr>
          <w:rFonts w:ascii="Arial" w:eastAsia="Calibri" w:hAnsi="Arial" w:cs="Arial"/>
          <w:sz w:val="24"/>
          <w:szCs w:val="24"/>
          <w:lang w:val="es-ES" w:eastAsia="en-US"/>
        </w:rPr>
        <w:t>se public</w:t>
      </w:r>
      <w:r w:rsidR="00E821A9">
        <w:rPr>
          <w:rFonts w:ascii="Arial" w:eastAsia="Calibri" w:hAnsi="Arial" w:cs="Arial"/>
          <w:sz w:val="24"/>
          <w:szCs w:val="24"/>
          <w:lang w:val="es-ES" w:eastAsia="en-US"/>
        </w:rPr>
        <w:t xml:space="preserve">ará </w:t>
      </w:r>
      <w:r w:rsidR="00E821A9" w:rsidRPr="00642048">
        <w:rPr>
          <w:rFonts w:ascii="Arial" w:eastAsia="Calibri" w:hAnsi="Arial" w:cs="Arial"/>
          <w:sz w:val="24"/>
          <w:szCs w:val="24"/>
          <w:lang w:val="es-ES" w:eastAsia="en-US"/>
        </w:rPr>
        <w:t>el día</w:t>
      </w:r>
      <w:r w:rsidR="00566D88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12</w:t>
      </w:r>
      <w:r w:rsidR="00E821A9" w:rsidRPr="00642048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de marzo de 2019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E12635">
        <w:rPr>
          <w:rFonts w:ascii="Arial" w:eastAsia="Calibri" w:hAnsi="Arial" w:cs="Arial"/>
          <w:sz w:val="24"/>
          <w:szCs w:val="24"/>
          <w:lang w:val="es-ES" w:eastAsia="en-US"/>
        </w:rPr>
        <w:t xml:space="preserve">en la página </w:t>
      </w:r>
      <w:r w:rsidR="00E12635"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http://comisionseachihuahua.mx</w:t>
      </w:r>
      <w:r w:rsidR="00E12635">
        <w:rPr>
          <w:rFonts w:ascii="Arial" w:eastAsia="Calibri" w:hAnsi="Arial" w:cs="Arial"/>
          <w:b/>
          <w:sz w:val="24"/>
          <w:szCs w:val="24"/>
          <w:lang w:val="es-ES" w:eastAsia="en-US"/>
        </w:rPr>
        <w:t>.</w:t>
      </w:r>
    </w:p>
    <w:p w:rsidR="00E821A9" w:rsidRDefault="00CA20B0" w:rsidP="00E12635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OCTAVA. </w:t>
      </w:r>
      <w:r w:rsidR="00E821A9" w:rsidRPr="00E821A9">
        <w:rPr>
          <w:rFonts w:ascii="Arial" w:eastAsia="Calibri" w:hAnsi="Arial" w:cs="Arial"/>
          <w:sz w:val="24"/>
          <w:szCs w:val="24"/>
          <w:lang w:val="es-ES" w:eastAsia="en-US"/>
        </w:rPr>
        <w:t>El proceso de evaluación para la designación de la persona seleccionada se llevará a</w:t>
      </w:r>
      <w:r w:rsidR="00E821A9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E821A9" w:rsidRPr="00E821A9">
        <w:rPr>
          <w:rFonts w:ascii="Arial" w:eastAsia="Calibri" w:hAnsi="Arial" w:cs="Arial"/>
          <w:sz w:val="24"/>
          <w:szCs w:val="24"/>
          <w:lang w:val="es-ES" w:eastAsia="en-US"/>
        </w:rPr>
        <w:t>cabo en las siguientes etapas:</w:t>
      </w:r>
      <w:r w:rsidR="00E821A9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</w:t>
      </w:r>
    </w:p>
    <w:p w:rsidR="00E12635" w:rsidRDefault="00CA20B0" w:rsidP="00E12635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La primera etapa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consistirá en una evaluación documental que permita determinar el cumplimiento de los requisitos que establece la Ley, mismos que están contenidos en la presente Convocatoria. </w:t>
      </w:r>
      <w:r w:rsidR="00E12635">
        <w:rPr>
          <w:rFonts w:ascii="Arial" w:eastAsia="Calibri" w:hAnsi="Arial" w:cs="Arial"/>
          <w:sz w:val="24"/>
          <w:szCs w:val="24"/>
          <w:lang w:val="es-ES" w:eastAsia="en-US"/>
        </w:rPr>
        <w:t xml:space="preserve">La lista de las personas que hayan dado cumplimiento a los requisitos documentales se publicará el día </w:t>
      </w:r>
      <w:r w:rsidR="00E12635" w:rsidRPr="00642048">
        <w:rPr>
          <w:rFonts w:ascii="Arial" w:eastAsia="Calibri" w:hAnsi="Arial" w:cs="Arial"/>
          <w:b/>
          <w:sz w:val="24"/>
          <w:szCs w:val="24"/>
          <w:lang w:val="es-ES" w:eastAsia="en-US"/>
        </w:rPr>
        <w:t>1</w:t>
      </w:r>
      <w:r w:rsidR="00566D88">
        <w:rPr>
          <w:rFonts w:ascii="Arial" w:eastAsia="Calibri" w:hAnsi="Arial" w:cs="Arial"/>
          <w:b/>
          <w:sz w:val="24"/>
          <w:szCs w:val="24"/>
          <w:lang w:val="es-ES" w:eastAsia="en-US"/>
        </w:rPr>
        <w:t>5</w:t>
      </w:r>
      <w:r w:rsidR="00E12635" w:rsidRPr="00642048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de marzo de 2019</w:t>
      </w:r>
      <w:r w:rsidR="00E821A9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="00E12635">
        <w:rPr>
          <w:rFonts w:ascii="Arial" w:eastAsia="Calibri" w:hAnsi="Arial" w:cs="Arial"/>
          <w:sz w:val="24"/>
          <w:szCs w:val="24"/>
          <w:lang w:val="es-ES" w:eastAsia="en-US"/>
        </w:rPr>
        <w:t xml:space="preserve"> en la página </w:t>
      </w:r>
      <w:r w:rsidR="00E12635"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http://comisionseachihuahua.mx</w:t>
      </w:r>
      <w:r w:rsidR="00E12635">
        <w:rPr>
          <w:rFonts w:ascii="Arial" w:eastAsia="Calibri" w:hAnsi="Arial" w:cs="Arial"/>
          <w:b/>
          <w:sz w:val="24"/>
          <w:szCs w:val="24"/>
          <w:lang w:val="es-ES" w:eastAsia="en-US"/>
        </w:rPr>
        <w:t>.</w:t>
      </w:r>
    </w:p>
    <w:p w:rsidR="00437A02" w:rsidRPr="00642048" w:rsidRDefault="00642048" w:rsidP="00437A02">
      <w:pPr>
        <w:spacing w:after="160" w:line="259" w:lineRule="auto"/>
        <w:jc w:val="both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642048">
        <w:rPr>
          <w:rFonts w:ascii="Arial" w:eastAsia="Calibri" w:hAnsi="Arial" w:cs="Arial"/>
          <w:sz w:val="24"/>
          <w:szCs w:val="24"/>
          <w:lang w:val="es-ES" w:eastAsia="en-US"/>
        </w:rPr>
        <w:t>En</w:t>
      </w:r>
      <w:r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l</w:t>
      </w:r>
      <w:r w:rsidR="005A5381" w:rsidRPr="00437A02">
        <w:rPr>
          <w:rFonts w:ascii="Arial" w:eastAsia="Calibri" w:hAnsi="Arial" w:cs="Arial"/>
          <w:b/>
          <w:sz w:val="24"/>
          <w:szCs w:val="24"/>
          <w:lang w:val="es-ES" w:eastAsia="en-US"/>
        </w:rPr>
        <w:t>a segunda etapa</w:t>
      </w:r>
      <w:r>
        <w:rPr>
          <w:rFonts w:ascii="Arial" w:eastAsia="Calibri" w:hAnsi="Arial" w:cs="Arial"/>
          <w:b/>
          <w:sz w:val="24"/>
          <w:szCs w:val="24"/>
          <w:lang w:val="es-ES" w:eastAsia="en-US"/>
        </w:rPr>
        <w:t>,</w:t>
      </w:r>
      <w:r w:rsidR="005A5381">
        <w:rPr>
          <w:rFonts w:ascii="Arial" w:eastAsia="Calibri" w:hAnsi="Arial" w:cs="Arial"/>
          <w:sz w:val="24"/>
          <w:szCs w:val="24"/>
          <w:lang w:val="es-ES" w:eastAsia="en-US"/>
        </w:rPr>
        <w:t xml:space="preserve"> la Comisión </w:t>
      </w:r>
      <w:r w:rsidR="00437A02">
        <w:rPr>
          <w:rFonts w:ascii="Arial" w:eastAsia="Calibri" w:hAnsi="Arial" w:cs="Arial"/>
          <w:sz w:val="24"/>
          <w:szCs w:val="24"/>
          <w:lang w:val="es-ES" w:eastAsia="en-US"/>
        </w:rPr>
        <w:t>hará una evaluación documental y curricular para identificar a los mejores perfiles</w:t>
      </w:r>
      <w:r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="00437A02">
        <w:rPr>
          <w:rFonts w:ascii="Arial" w:eastAsia="Calibri" w:hAnsi="Arial" w:cs="Arial"/>
          <w:sz w:val="24"/>
          <w:szCs w:val="24"/>
          <w:lang w:val="es-ES" w:eastAsia="en-US"/>
        </w:rPr>
        <w:t xml:space="preserve"> con base en una metodología que será pública a parti</w:t>
      </w:r>
      <w:r w:rsidR="00A715E5">
        <w:rPr>
          <w:rFonts w:ascii="Arial" w:eastAsia="Calibri" w:hAnsi="Arial" w:cs="Arial"/>
          <w:sz w:val="24"/>
          <w:szCs w:val="24"/>
          <w:lang w:val="es-ES" w:eastAsia="en-US"/>
        </w:rPr>
        <w:t xml:space="preserve">r del cierre de la Convocatoria. Las personas mejor evaluadas </w:t>
      </w:r>
      <w:r w:rsidR="00437A02">
        <w:rPr>
          <w:rFonts w:ascii="Arial" w:eastAsia="Calibri" w:hAnsi="Arial" w:cs="Arial"/>
          <w:sz w:val="24"/>
          <w:szCs w:val="24"/>
          <w:lang w:val="es-ES" w:eastAsia="en-US"/>
        </w:rPr>
        <w:t xml:space="preserve">pasarán a la etapa de entrevistas </w:t>
      </w:r>
      <w:r w:rsidR="00A715E5">
        <w:rPr>
          <w:rFonts w:ascii="Arial" w:eastAsia="Calibri" w:hAnsi="Arial" w:cs="Arial"/>
          <w:sz w:val="24"/>
          <w:szCs w:val="24"/>
          <w:lang w:val="es-ES" w:eastAsia="en-US"/>
        </w:rPr>
        <w:t>públicas</w:t>
      </w:r>
      <w:r w:rsidR="00437A02">
        <w:rPr>
          <w:rFonts w:ascii="Arial" w:eastAsia="Calibri" w:hAnsi="Arial" w:cs="Arial"/>
          <w:sz w:val="24"/>
          <w:szCs w:val="24"/>
          <w:lang w:val="es-ES" w:eastAsia="en-US"/>
        </w:rPr>
        <w:t>. El cronograma de entrev</w:t>
      </w:r>
      <w:r w:rsidR="00A715E5">
        <w:rPr>
          <w:rFonts w:ascii="Arial" w:eastAsia="Calibri" w:hAnsi="Arial" w:cs="Arial"/>
          <w:sz w:val="24"/>
          <w:szCs w:val="24"/>
          <w:lang w:val="es-ES" w:eastAsia="en-US"/>
        </w:rPr>
        <w:t>istas se publicará en la página</w:t>
      </w:r>
      <w:r w:rsidR="00437A02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hyperlink r:id="rId6" w:history="1">
        <w:r w:rsidR="00A715E5" w:rsidRPr="00CB0E53">
          <w:rPr>
            <w:rStyle w:val="Hipervnculo"/>
            <w:rFonts w:ascii="Arial" w:eastAsia="Calibri" w:hAnsi="Arial" w:cs="Arial"/>
            <w:b/>
            <w:sz w:val="24"/>
            <w:szCs w:val="24"/>
            <w:lang w:val="es-ES" w:eastAsia="en-US"/>
          </w:rPr>
          <w:t>http://comisionseachihuahua.mx</w:t>
        </w:r>
      </w:hyperlink>
      <w:r w:rsidR="00A715E5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</w:t>
      </w:r>
      <w:r w:rsidR="00A715E5" w:rsidRPr="00A715E5">
        <w:rPr>
          <w:rFonts w:ascii="Arial" w:eastAsia="Calibri" w:hAnsi="Arial" w:cs="Arial"/>
          <w:sz w:val="24"/>
          <w:szCs w:val="24"/>
          <w:lang w:val="es-ES" w:eastAsia="en-US"/>
        </w:rPr>
        <w:t xml:space="preserve">el día </w:t>
      </w:r>
      <w:r w:rsidR="00A715E5" w:rsidRPr="00642048">
        <w:rPr>
          <w:rFonts w:ascii="Arial" w:eastAsia="Calibri" w:hAnsi="Arial" w:cs="Arial"/>
          <w:b/>
          <w:sz w:val="24"/>
          <w:szCs w:val="24"/>
          <w:lang w:val="es-ES" w:eastAsia="en-US"/>
        </w:rPr>
        <w:t>15 de marzo de 2019.</w:t>
      </w:r>
    </w:p>
    <w:p w:rsidR="00CA20B0" w:rsidRDefault="00CA20B0" w:rsidP="00CA20B0">
      <w:p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La tercera etapa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3275EA">
        <w:rPr>
          <w:rFonts w:ascii="Arial" w:eastAsia="Calibri" w:hAnsi="Arial" w:cs="Arial"/>
          <w:sz w:val="24"/>
          <w:szCs w:val="24"/>
          <w:lang w:val="es-ES" w:eastAsia="en-US"/>
        </w:rPr>
        <w:t>será relativa a la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deliberación de la Comisión de Selección para designar a la</w:t>
      </w:r>
      <w:r w:rsidR="00FB55B0">
        <w:rPr>
          <w:rFonts w:ascii="Arial" w:eastAsia="Calibri" w:hAnsi="Arial" w:cs="Arial"/>
          <w:sz w:val="24"/>
          <w:szCs w:val="24"/>
          <w:lang w:val="es-ES" w:eastAsia="en-US"/>
        </w:rPr>
        <w:t xml:space="preserve"> persona integrante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del Comité de Participación Ciudadana del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lastRenderedPageBreak/>
        <w:t>Sistema Estatal Anticorrupción</w:t>
      </w:r>
      <w:r w:rsidR="003275EA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con base en</w:t>
      </w:r>
      <w:r w:rsidR="003275EA">
        <w:rPr>
          <w:rFonts w:ascii="Arial" w:eastAsia="Calibri" w:hAnsi="Arial" w:cs="Arial"/>
          <w:sz w:val="24"/>
          <w:szCs w:val="24"/>
          <w:lang w:val="es-ES" w:eastAsia="en-US"/>
        </w:rPr>
        <w:t xml:space="preserve"> la metodología referida en la Base C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uarta</w:t>
      </w:r>
      <w:r w:rsidR="003275EA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que será publicada al cierre de la </w:t>
      </w:r>
      <w:r w:rsidR="003275EA">
        <w:rPr>
          <w:rFonts w:ascii="Arial" w:eastAsia="Calibri" w:hAnsi="Arial" w:cs="Arial"/>
          <w:sz w:val="24"/>
          <w:szCs w:val="24"/>
          <w:lang w:val="es-ES" w:eastAsia="en-US"/>
        </w:rPr>
        <w:t xml:space="preserve">presente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Convocatoria. </w:t>
      </w:r>
    </w:p>
    <w:p w:rsidR="003275EA" w:rsidRPr="00A52E43" w:rsidRDefault="003275EA" w:rsidP="00CA20B0">
      <w:pPr>
        <w:spacing w:after="160" w:line="259" w:lineRule="auto"/>
        <w:contextualSpacing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La designación de </w:t>
      </w:r>
      <w:r w:rsidR="00FB55B0">
        <w:rPr>
          <w:rFonts w:ascii="Arial" w:eastAsia="Calibri" w:hAnsi="Arial" w:cs="Arial"/>
          <w:sz w:val="24"/>
          <w:szCs w:val="24"/>
          <w:lang w:val="es-ES" w:eastAsia="en-US"/>
        </w:rPr>
        <w:t>la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FB55B0">
        <w:rPr>
          <w:rFonts w:ascii="Arial" w:eastAsia="Calibri" w:hAnsi="Arial" w:cs="Arial"/>
          <w:sz w:val="24"/>
          <w:szCs w:val="24"/>
          <w:lang w:val="es-ES" w:eastAsia="en-US"/>
        </w:rPr>
        <w:t>persona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="00FB55B0">
        <w:rPr>
          <w:rFonts w:ascii="Arial" w:eastAsia="Calibri" w:hAnsi="Arial" w:cs="Arial"/>
          <w:sz w:val="24"/>
          <w:szCs w:val="24"/>
          <w:lang w:val="es-ES" w:eastAsia="en-US"/>
        </w:rPr>
        <w:t>integrante</w:t>
      </w:r>
      <w:r w:rsidR="008A5C8B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se hará en sesión pública</w:t>
      </w:r>
      <w:r w:rsidR="008A5C8B">
        <w:rPr>
          <w:rFonts w:ascii="Arial" w:eastAsia="Calibri" w:hAnsi="Arial" w:cs="Arial"/>
          <w:sz w:val="24"/>
          <w:szCs w:val="24"/>
          <w:lang w:val="es-ES" w:eastAsia="en-US"/>
        </w:rPr>
        <w:t xml:space="preserve"> el </w:t>
      </w:r>
      <w:r w:rsidR="008A5C8B" w:rsidRPr="003275EA">
        <w:rPr>
          <w:rFonts w:ascii="Arial" w:eastAsia="Calibri" w:hAnsi="Arial" w:cs="Arial"/>
          <w:sz w:val="24"/>
          <w:szCs w:val="24"/>
          <w:lang w:val="es-ES" w:eastAsia="en-US"/>
        </w:rPr>
        <w:t xml:space="preserve">día </w:t>
      </w:r>
      <w:r w:rsidR="008A5C8B" w:rsidRPr="003275EA">
        <w:rPr>
          <w:rFonts w:ascii="Arial" w:eastAsia="Calibri" w:hAnsi="Arial" w:cs="Arial"/>
          <w:b/>
          <w:sz w:val="24"/>
          <w:szCs w:val="24"/>
          <w:lang w:val="es-ES" w:eastAsia="en-US"/>
        </w:rPr>
        <w:t>29 de marzo de 2019</w:t>
      </w:r>
      <w:r w:rsidR="008A5C8B" w:rsidRPr="003275EA">
        <w:rPr>
          <w:rFonts w:ascii="Arial" w:eastAsia="Calibri" w:hAnsi="Arial" w:cs="Arial"/>
          <w:sz w:val="24"/>
          <w:szCs w:val="24"/>
          <w:lang w:val="es-ES" w:eastAsia="en-US"/>
        </w:rPr>
        <w:t>.</w:t>
      </w:r>
      <w:r w:rsidR="008A5C8B">
        <w:rPr>
          <w:rFonts w:ascii="Arial" w:eastAsia="Calibri" w:hAnsi="Arial" w:cs="Arial"/>
          <w:sz w:val="24"/>
          <w:szCs w:val="24"/>
          <w:lang w:val="es-ES" w:eastAsia="en-US"/>
        </w:rPr>
        <w:t xml:space="preserve">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El resultado de esta sesión se comunicará de manera inmediata a </w:t>
      </w:r>
      <w:r w:rsidR="00FB55B0">
        <w:rPr>
          <w:rFonts w:ascii="Arial" w:eastAsia="Calibri" w:hAnsi="Arial" w:cs="Arial"/>
          <w:sz w:val="24"/>
          <w:szCs w:val="24"/>
          <w:lang w:val="es-ES" w:eastAsia="en-US"/>
        </w:rPr>
        <w:t>la persona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designada y al</w:t>
      </w:r>
      <w:r w:rsidR="00A715E5">
        <w:rPr>
          <w:rFonts w:ascii="Arial" w:eastAsia="Calibri" w:hAnsi="Arial" w:cs="Arial"/>
          <w:sz w:val="24"/>
          <w:szCs w:val="24"/>
          <w:lang w:val="es-ES" w:eastAsia="en-US"/>
        </w:rPr>
        <w:t xml:space="preserve"> H.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Congreso del Estado</w:t>
      </w:r>
      <w:r w:rsidR="003275EA">
        <w:rPr>
          <w:rFonts w:ascii="Arial" w:eastAsia="Calibri" w:hAnsi="Arial" w:cs="Arial"/>
          <w:sz w:val="24"/>
          <w:szCs w:val="24"/>
          <w:lang w:val="es-ES" w:eastAsia="en-US"/>
        </w:rPr>
        <w:t>,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para la </w:t>
      </w:r>
      <w:r w:rsidR="003275EA">
        <w:rPr>
          <w:rFonts w:ascii="Arial" w:eastAsia="Calibri" w:hAnsi="Arial" w:cs="Arial"/>
          <w:sz w:val="24"/>
          <w:szCs w:val="24"/>
          <w:lang w:val="es-ES" w:eastAsia="en-US"/>
        </w:rPr>
        <w:t xml:space="preserve">toma de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protesta</w:t>
      </w:r>
      <w:r w:rsidR="003275EA">
        <w:rPr>
          <w:rFonts w:ascii="Arial" w:eastAsia="Calibri" w:hAnsi="Arial" w:cs="Arial"/>
          <w:sz w:val="24"/>
          <w:szCs w:val="24"/>
          <w:lang w:val="es-ES" w:eastAsia="en-US"/>
        </w:rPr>
        <w:t xml:space="preserve"> correspondiente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. 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NOVENA.</w:t>
      </w:r>
      <w:r w:rsidR="007F2E93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>Los casos y circunstancias no previstas en esta Convocatoria serán resueltos por la Comisión de Selección.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DÉCIMA</w:t>
      </w:r>
      <w:r w:rsidR="00CD45B9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. 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La presente Convocatoria surtirá efectos </w:t>
      </w:r>
      <w:r w:rsidR="00735155">
        <w:rPr>
          <w:rFonts w:ascii="Arial" w:eastAsia="Calibri" w:hAnsi="Arial" w:cs="Arial"/>
          <w:sz w:val="24"/>
          <w:szCs w:val="24"/>
          <w:lang w:val="es-ES" w:eastAsia="en-US"/>
        </w:rPr>
        <w:t>el día de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 su publicación</w:t>
      </w:r>
      <w:r w:rsidR="00735155">
        <w:rPr>
          <w:rFonts w:ascii="Arial" w:eastAsia="Calibri" w:hAnsi="Arial" w:cs="Arial"/>
          <w:sz w:val="24"/>
          <w:szCs w:val="24"/>
          <w:lang w:val="es-ES" w:eastAsia="en-US"/>
        </w:rPr>
        <w:t xml:space="preserve"> en el Periódico Oficial del Estado</w:t>
      </w:r>
      <w:r w:rsidRPr="00A52E43">
        <w:rPr>
          <w:rFonts w:ascii="Arial" w:eastAsia="Calibri" w:hAnsi="Arial" w:cs="Arial"/>
          <w:sz w:val="24"/>
          <w:szCs w:val="24"/>
          <w:lang w:val="es-ES" w:eastAsia="en-US"/>
        </w:rPr>
        <w:t xml:space="preserve">. </w:t>
      </w:r>
    </w:p>
    <w:p w:rsidR="00CA20B0" w:rsidRPr="00A52E43" w:rsidRDefault="00CA20B0" w:rsidP="00CA20B0">
      <w:pPr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Pr="00A52E43" w:rsidRDefault="00CA20B0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ATENTAMENTE:</w:t>
      </w:r>
    </w:p>
    <w:p w:rsidR="00CA20B0" w:rsidRPr="00A52E43" w:rsidRDefault="00CA20B0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>COMISIÓN DE SELECCIÓN DEL COMITÉ DE PARTICIPACIÓN CIUDADANA DEL SISTEMA ESTATAL ANTICORRUPCIÓN</w:t>
      </w:r>
    </w:p>
    <w:p w:rsidR="00CA20B0" w:rsidRDefault="00CA20B0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  <w:r w:rsidRPr="00A52E43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Chihuahua, Chihuahua a </w:t>
      </w:r>
      <w:r w:rsidR="00CE7E04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</w:t>
      </w:r>
      <w:r w:rsidR="00205BC2">
        <w:rPr>
          <w:rFonts w:ascii="Arial" w:eastAsia="Calibri" w:hAnsi="Arial" w:cs="Arial"/>
          <w:b/>
          <w:sz w:val="24"/>
          <w:szCs w:val="24"/>
          <w:lang w:val="es-ES" w:eastAsia="en-US"/>
        </w:rPr>
        <w:t>2</w:t>
      </w:r>
      <w:r w:rsidR="00B76B99">
        <w:rPr>
          <w:rFonts w:ascii="Arial" w:eastAsia="Calibri" w:hAnsi="Arial" w:cs="Arial"/>
          <w:b/>
          <w:sz w:val="24"/>
          <w:szCs w:val="24"/>
          <w:lang w:val="es-ES" w:eastAsia="en-US"/>
        </w:rPr>
        <w:t>7</w:t>
      </w:r>
      <w:r w:rsidR="00205BC2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de febrero</w:t>
      </w:r>
      <w:r w:rsidR="00CE7E04">
        <w:rPr>
          <w:rFonts w:ascii="Arial" w:eastAsia="Calibri" w:hAnsi="Arial" w:cs="Arial"/>
          <w:b/>
          <w:sz w:val="24"/>
          <w:szCs w:val="24"/>
          <w:lang w:val="es-ES" w:eastAsia="en-US"/>
        </w:rPr>
        <w:t xml:space="preserve"> </w:t>
      </w:r>
      <w:r w:rsidR="00F60929">
        <w:rPr>
          <w:rFonts w:ascii="Arial" w:eastAsia="Calibri" w:hAnsi="Arial" w:cs="Arial"/>
          <w:b/>
          <w:sz w:val="24"/>
          <w:szCs w:val="24"/>
          <w:lang w:val="es-ES" w:eastAsia="en-US"/>
        </w:rPr>
        <w:t>de 2019</w:t>
      </w:r>
    </w:p>
    <w:p w:rsidR="00CA20B0" w:rsidRDefault="00CA20B0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</w:p>
    <w:p w:rsidR="00CA20B0" w:rsidRDefault="00CA20B0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</w:p>
    <w:p w:rsidR="00735155" w:rsidRPr="00A52E43" w:rsidRDefault="00735155" w:rsidP="00CA20B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lang w:val="es-E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CA20B0" w:rsidRPr="00CD1E1A" w:rsidTr="009B0BD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B0" w:rsidRPr="00CD1E1A" w:rsidRDefault="00CA20B0" w:rsidP="009B0BDA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  <w:r w:rsidRPr="00CD1E1A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t>HÉCTOR MARTÍNEZ LARA</w:t>
            </w:r>
          </w:p>
          <w:p w:rsidR="00CA20B0" w:rsidRPr="00CD1E1A" w:rsidRDefault="00CA20B0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B0" w:rsidRPr="00CD1E1A" w:rsidRDefault="00CA20B0" w:rsidP="009B0BDA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  <w:r w:rsidRPr="00CD1E1A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t>JAVIER GARCÍA GUTIÉRREZ</w:t>
            </w:r>
          </w:p>
          <w:p w:rsidR="00CA20B0" w:rsidRDefault="00CA20B0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  <w:p w:rsidR="00735155" w:rsidRDefault="00735155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  <w:p w:rsidR="00735155" w:rsidRPr="00CD1E1A" w:rsidRDefault="00735155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</w:tc>
      </w:tr>
      <w:tr w:rsidR="00CA20B0" w:rsidRPr="00CD1E1A" w:rsidTr="009B0BD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B0" w:rsidRPr="00CD1E1A" w:rsidRDefault="00CA20B0" w:rsidP="009B0BDA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  <w:r w:rsidRPr="00CD1E1A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t>JESÚS ROBLES VILLA</w:t>
            </w:r>
          </w:p>
          <w:p w:rsidR="00CA20B0" w:rsidRPr="00CD1E1A" w:rsidRDefault="00CA20B0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B0" w:rsidRPr="00CD1E1A" w:rsidRDefault="00CA20B0" w:rsidP="009B0BDA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  <w:r w:rsidRPr="00CD1E1A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t>MARÍA GUADALUPE LONGORIA GÁNDARA</w:t>
            </w:r>
          </w:p>
          <w:p w:rsidR="00CA20B0" w:rsidRDefault="00CA20B0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  <w:p w:rsidR="00735155" w:rsidRDefault="00735155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  <w:p w:rsidR="00735155" w:rsidRPr="00CD1E1A" w:rsidRDefault="00735155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</w:tc>
      </w:tr>
      <w:tr w:rsidR="00CA20B0" w:rsidRPr="00CD1E1A" w:rsidTr="009B0BD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B0" w:rsidRPr="00CD1E1A" w:rsidRDefault="00CA20B0" w:rsidP="009B0BDA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  <w:r w:rsidRPr="00CD1E1A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t>MAGDALENA VERÓNICA RODRÍGUEZ CASTILLO</w:t>
            </w:r>
          </w:p>
          <w:p w:rsidR="00CA20B0" w:rsidRPr="00CD1E1A" w:rsidRDefault="00CA20B0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B0" w:rsidRPr="00CD1E1A" w:rsidRDefault="003275EA" w:rsidP="009B0BDA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  <w:r w:rsidRPr="00A52E43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t>CARLOS ALEJANDRO RIVERA ESTRADA</w:t>
            </w:r>
            <w:r w:rsidRPr="00CD1E1A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t xml:space="preserve"> </w:t>
            </w:r>
          </w:p>
          <w:p w:rsidR="00CA20B0" w:rsidRDefault="00CA20B0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  <w:p w:rsidR="00735155" w:rsidRDefault="00735155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  <w:p w:rsidR="00735155" w:rsidRPr="00CD1E1A" w:rsidRDefault="00735155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</w:tc>
      </w:tr>
      <w:tr w:rsidR="00CA20B0" w:rsidRPr="00CD1E1A" w:rsidTr="009B0BDA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B0" w:rsidRPr="00CD1E1A" w:rsidRDefault="00CA20B0" w:rsidP="009B0BDA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  <w:r w:rsidRPr="00CD1E1A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lastRenderedPageBreak/>
              <w:t>OLGA ELENA PONCE FRESCAS</w:t>
            </w:r>
          </w:p>
          <w:p w:rsidR="00CA20B0" w:rsidRPr="00CD1E1A" w:rsidRDefault="00CA20B0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</w:tc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20B0" w:rsidRPr="00CD1E1A" w:rsidRDefault="00CA20B0" w:rsidP="009B0BDA">
            <w:pPr>
              <w:spacing w:after="160" w:line="259" w:lineRule="auto"/>
              <w:jc w:val="center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  <w:r w:rsidRPr="00CD1E1A"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  <w:t>VÍCTOR MANUEL VILLAGRÁN ESCOBAR</w:t>
            </w:r>
          </w:p>
          <w:p w:rsidR="00CA20B0" w:rsidRPr="00CD1E1A" w:rsidRDefault="00CA20B0" w:rsidP="009B0BDA">
            <w:pPr>
              <w:spacing w:after="160" w:line="259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 w:eastAsia="en-US"/>
              </w:rPr>
            </w:pPr>
          </w:p>
        </w:tc>
      </w:tr>
    </w:tbl>
    <w:p w:rsidR="00CA20B0" w:rsidRPr="00A52E43" w:rsidRDefault="00CA20B0" w:rsidP="00CA20B0">
      <w:pPr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ES" w:eastAsia="en-US"/>
        </w:rPr>
      </w:pPr>
    </w:p>
    <w:p w:rsidR="00CA20B0" w:rsidRDefault="00CA20B0" w:rsidP="00CA20B0"/>
    <w:p w:rsidR="00776D21" w:rsidRDefault="00776D21"/>
    <w:sectPr w:rsidR="00776D21" w:rsidSect="009B0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E57B7"/>
    <w:multiLevelType w:val="hybridMultilevel"/>
    <w:tmpl w:val="A3D8423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117718"/>
    <w:multiLevelType w:val="hybridMultilevel"/>
    <w:tmpl w:val="4C2A76B6"/>
    <w:lvl w:ilvl="0" w:tplc="AA4489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0B0"/>
    <w:rsid w:val="000545F0"/>
    <w:rsid w:val="001301D6"/>
    <w:rsid w:val="001A0072"/>
    <w:rsid w:val="001B268A"/>
    <w:rsid w:val="001F0D57"/>
    <w:rsid w:val="00205BC2"/>
    <w:rsid w:val="00234148"/>
    <w:rsid w:val="00242C99"/>
    <w:rsid w:val="00266338"/>
    <w:rsid w:val="002909B2"/>
    <w:rsid w:val="002F3A74"/>
    <w:rsid w:val="00305339"/>
    <w:rsid w:val="00310C91"/>
    <w:rsid w:val="003275EA"/>
    <w:rsid w:val="00327CB9"/>
    <w:rsid w:val="00340EF0"/>
    <w:rsid w:val="003466E9"/>
    <w:rsid w:val="003777DA"/>
    <w:rsid w:val="003D1691"/>
    <w:rsid w:val="00412087"/>
    <w:rsid w:val="00414847"/>
    <w:rsid w:val="00437A02"/>
    <w:rsid w:val="004416FB"/>
    <w:rsid w:val="00460CDB"/>
    <w:rsid w:val="00484BC2"/>
    <w:rsid w:val="00485081"/>
    <w:rsid w:val="00485764"/>
    <w:rsid w:val="004A0C5F"/>
    <w:rsid w:val="004B563A"/>
    <w:rsid w:val="005137F0"/>
    <w:rsid w:val="00566D88"/>
    <w:rsid w:val="005708C4"/>
    <w:rsid w:val="005816ED"/>
    <w:rsid w:val="0058740C"/>
    <w:rsid w:val="005A5381"/>
    <w:rsid w:val="005C61EA"/>
    <w:rsid w:val="005E4146"/>
    <w:rsid w:val="005E6247"/>
    <w:rsid w:val="005E64D8"/>
    <w:rsid w:val="00642048"/>
    <w:rsid w:val="00642B9F"/>
    <w:rsid w:val="0064556D"/>
    <w:rsid w:val="0067386A"/>
    <w:rsid w:val="006758BF"/>
    <w:rsid w:val="006C420F"/>
    <w:rsid w:val="00735155"/>
    <w:rsid w:val="007460B3"/>
    <w:rsid w:val="00773C4E"/>
    <w:rsid w:val="00776D21"/>
    <w:rsid w:val="007B5C4B"/>
    <w:rsid w:val="007F2E93"/>
    <w:rsid w:val="0086717C"/>
    <w:rsid w:val="0087554B"/>
    <w:rsid w:val="008A5C8B"/>
    <w:rsid w:val="008E0B68"/>
    <w:rsid w:val="008F4101"/>
    <w:rsid w:val="009528F9"/>
    <w:rsid w:val="0095742F"/>
    <w:rsid w:val="009B0BDA"/>
    <w:rsid w:val="009C0737"/>
    <w:rsid w:val="009F25AE"/>
    <w:rsid w:val="00A5303A"/>
    <w:rsid w:val="00A653E0"/>
    <w:rsid w:val="00A715E5"/>
    <w:rsid w:val="00AB6FE2"/>
    <w:rsid w:val="00AD562E"/>
    <w:rsid w:val="00B00534"/>
    <w:rsid w:val="00B20752"/>
    <w:rsid w:val="00B76428"/>
    <w:rsid w:val="00B76B99"/>
    <w:rsid w:val="00B91202"/>
    <w:rsid w:val="00B945BA"/>
    <w:rsid w:val="00CA20B0"/>
    <w:rsid w:val="00CB1427"/>
    <w:rsid w:val="00CD3B94"/>
    <w:rsid w:val="00CD45B9"/>
    <w:rsid w:val="00CE662D"/>
    <w:rsid w:val="00CE7E04"/>
    <w:rsid w:val="00CF7BE6"/>
    <w:rsid w:val="00D053CC"/>
    <w:rsid w:val="00D246EB"/>
    <w:rsid w:val="00DE7A8A"/>
    <w:rsid w:val="00DF09B5"/>
    <w:rsid w:val="00E00EF4"/>
    <w:rsid w:val="00E05153"/>
    <w:rsid w:val="00E12635"/>
    <w:rsid w:val="00E821A9"/>
    <w:rsid w:val="00EB6127"/>
    <w:rsid w:val="00EF2AAC"/>
    <w:rsid w:val="00F061F5"/>
    <w:rsid w:val="00F60929"/>
    <w:rsid w:val="00FA175B"/>
    <w:rsid w:val="00FB55B0"/>
    <w:rsid w:val="00FB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AE8EB1-403A-4256-8517-75C8C039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0B0"/>
    <w:pPr>
      <w:spacing w:after="0" w:line="240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A20B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67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7D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misionseachihuahua.mx" TargetMode="External"/><Relationship Id="rId5" Type="http://schemas.openxmlformats.org/officeDocument/2006/relationships/hyperlink" Target="http://comisionseachihuahua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1510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roaguirre</dc:creator>
  <cp:lastModifiedBy>Diana Ruiz Anchondo</cp:lastModifiedBy>
  <cp:revision>3</cp:revision>
  <cp:lastPrinted>2019-02-21T18:58:00Z</cp:lastPrinted>
  <dcterms:created xsi:type="dcterms:W3CDTF">2019-02-22T18:22:00Z</dcterms:created>
  <dcterms:modified xsi:type="dcterms:W3CDTF">2019-02-22T18:23:00Z</dcterms:modified>
</cp:coreProperties>
</file>